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03373">
      <w:pPr>
        <w:pStyle w:val="3"/>
        <w:snapToGrid w:val="0"/>
        <w:spacing w:line="500" w:lineRule="exact"/>
        <w:ind w:left="0" w:leftChars="0" w:firstLine="0" w:firstLineChars="0"/>
        <w:jc w:val="both"/>
        <w:rPr>
          <w:rFonts w:hint="eastAsia" w:ascii="黑体" w:hAnsi="黑体" w:eastAsia="黑体" w:cs="黑体"/>
          <w:color w:val="auto"/>
          <w:spacing w:val="0"/>
          <w:kern w:val="2"/>
          <w:sz w:val="32"/>
          <w:szCs w:val="32"/>
          <w:lang w:val="en-US" w:eastAsia="zh-CN"/>
        </w:rPr>
      </w:pPr>
      <w:r>
        <w:rPr>
          <w:rFonts w:hint="eastAsia" w:ascii="黑体" w:hAnsi="黑体" w:eastAsia="黑体" w:cs="黑体"/>
          <w:color w:val="auto"/>
          <w:spacing w:val="0"/>
          <w:kern w:val="2"/>
          <w:sz w:val="32"/>
          <w:szCs w:val="32"/>
          <w:lang w:val="en-US" w:eastAsia="zh-CN"/>
        </w:rPr>
        <w:t>附件2</w:t>
      </w:r>
    </w:p>
    <w:p w14:paraId="71B994E8">
      <w:pPr>
        <w:pStyle w:val="3"/>
        <w:snapToGrid w:val="0"/>
        <w:spacing w:line="500" w:lineRule="exact"/>
        <w:ind w:left="0" w:leftChars="0" w:firstLine="0" w:firstLineChars="0"/>
        <w:jc w:val="center"/>
        <w:rPr>
          <w:rFonts w:hint="eastAsia" w:ascii="方正小标宋简体" w:hAnsi="方正小标宋简体" w:eastAsia="方正小标宋简体" w:cs="方正小标宋简体"/>
          <w:color w:val="auto"/>
          <w:spacing w:val="0"/>
          <w:kern w:val="2"/>
          <w:sz w:val="48"/>
          <w:szCs w:val="48"/>
          <w:lang w:val="en-US" w:eastAsia="zh-CN"/>
        </w:rPr>
      </w:pPr>
      <w:r>
        <w:rPr>
          <w:rFonts w:hint="eastAsia" w:ascii="方正小标宋简体" w:hAnsi="方正小标宋简体" w:eastAsia="方正小标宋简体" w:cs="方正小标宋简体"/>
          <w:color w:val="auto"/>
          <w:spacing w:val="0"/>
          <w:kern w:val="2"/>
          <w:sz w:val="48"/>
          <w:szCs w:val="48"/>
          <w:lang w:val="en-US" w:eastAsia="zh-CN"/>
        </w:rPr>
        <w:t>采购内容及要求</w:t>
      </w:r>
    </w:p>
    <w:p w14:paraId="73212E78">
      <w:pPr>
        <w:bidi w:val="0"/>
        <w:rPr>
          <w:rFonts w:hint="eastAsia"/>
          <w:color w:val="auto"/>
          <w:lang w:val="en-US" w:eastAsia="zh-CN"/>
        </w:rPr>
      </w:pPr>
    </w:p>
    <w:tbl>
      <w:tblPr>
        <w:tblStyle w:val="8"/>
        <w:tblW w:w="881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7450"/>
      </w:tblGrid>
      <w:tr w14:paraId="50C51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361" w:type="dxa"/>
            <w:tcBorders>
              <w:top w:val="single" w:color="000000" w:sz="10" w:space="0"/>
              <w:left w:val="single" w:color="000000" w:sz="10" w:space="0"/>
            </w:tcBorders>
            <w:vAlign w:val="top"/>
          </w:tcPr>
          <w:p w14:paraId="656B425B">
            <w:pPr>
              <w:pStyle w:val="7"/>
              <w:spacing w:before="117" w:line="227" w:lineRule="auto"/>
              <w:ind w:left="112" w:right="32" w:hanging="7"/>
              <w:jc w:val="center"/>
              <w:rPr>
                <w:b w:val="0"/>
                <w:bCs w:val="0"/>
                <w:color w:val="auto"/>
                <w:spacing w:val="1"/>
              </w:rPr>
            </w:pPr>
            <w:r>
              <w:rPr>
                <w:rFonts w:hint="eastAsia"/>
                <w:b w:val="0"/>
                <w:bCs w:val="0"/>
                <w:color w:val="auto"/>
                <w:spacing w:val="1"/>
                <w:lang w:val="en-US" w:eastAsia="zh-CN"/>
              </w:rPr>
              <w:t>档案</w:t>
            </w:r>
            <w:r>
              <w:rPr>
                <w:b w:val="0"/>
                <w:bCs w:val="0"/>
                <w:color w:val="auto"/>
                <w:spacing w:val="1"/>
              </w:rPr>
              <w:t>数量</w:t>
            </w:r>
          </w:p>
        </w:tc>
        <w:tc>
          <w:tcPr>
            <w:tcW w:w="7450" w:type="dxa"/>
            <w:tcBorders>
              <w:top w:val="single" w:color="000000" w:sz="10" w:space="0"/>
              <w:right w:val="single" w:color="000000" w:sz="10" w:space="0"/>
            </w:tcBorders>
            <w:vAlign w:val="top"/>
          </w:tcPr>
          <w:p w14:paraId="35FAD9AD">
            <w:pPr>
              <w:pStyle w:val="7"/>
              <w:spacing w:before="117" w:line="227" w:lineRule="auto"/>
              <w:ind w:left="112" w:right="32" w:hanging="7"/>
              <w:jc w:val="center"/>
              <w:rPr>
                <w:rFonts w:hint="eastAsia" w:eastAsia="仿宋"/>
                <w:b w:val="0"/>
                <w:bCs w:val="0"/>
                <w:color w:val="auto"/>
                <w:spacing w:val="1"/>
                <w:lang w:eastAsia="zh-CN"/>
              </w:rPr>
            </w:pPr>
            <w:r>
              <w:rPr>
                <w:rFonts w:hint="eastAsia"/>
                <w:b w:val="0"/>
                <w:bCs w:val="0"/>
                <w:color w:val="auto"/>
                <w:spacing w:val="1"/>
                <w:lang w:val="en-US" w:eastAsia="zh-CN"/>
              </w:rPr>
              <w:t>100</w:t>
            </w:r>
            <w:r>
              <w:rPr>
                <w:b w:val="0"/>
                <w:bCs w:val="0"/>
                <w:color w:val="auto"/>
                <w:spacing w:val="1"/>
                <w:lang w:val="en-US" w:eastAsia="en-US"/>
              </w:rPr>
              <w:t>卷</w:t>
            </w:r>
            <w:r>
              <w:rPr>
                <w:rFonts w:hint="eastAsia"/>
                <w:b w:val="0"/>
                <w:bCs w:val="0"/>
                <w:color w:val="auto"/>
                <w:spacing w:val="1"/>
                <w:lang w:val="en-US" w:eastAsia="zh-CN"/>
              </w:rPr>
              <w:t>（按实际完成量结算）</w:t>
            </w:r>
          </w:p>
        </w:tc>
      </w:tr>
      <w:tr w14:paraId="44D57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1361" w:type="dxa"/>
            <w:vMerge w:val="restart"/>
            <w:tcBorders>
              <w:left w:val="single" w:color="000000" w:sz="10" w:space="0"/>
              <w:bottom w:val="nil"/>
            </w:tcBorders>
            <w:vAlign w:val="center"/>
          </w:tcPr>
          <w:p w14:paraId="644DFC4E">
            <w:pPr>
              <w:pStyle w:val="7"/>
              <w:spacing w:before="117" w:line="227" w:lineRule="auto"/>
              <w:ind w:left="112" w:right="32" w:hanging="7"/>
              <w:jc w:val="center"/>
              <w:rPr>
                <w:b w:val="0"/>
                <w:bCs w:val="0"/>
                <w:color w:val="auto"/>
                <w:spacing w:val="1"/>
              </w:rPr>
            </w:pPr>
          </w:p>
          <w:p w14:paraId="494AE8FC">
            <w:pPr>
              <w:pStyle w:val="7"/>
              <w:spacing w:before="117" w:line="227" w:lineRule="auto"/>
              <w:ind w:left="112" w:right="32" w:hanging="7"/>
              <w:jc w:val="center"/>
              <w:rPr>
                <w:b w:val="0"/>
                <w:bCs w:val="0"/>
                <w:color w:val="auto"/>
                <w:spacing w:val="1"/>
              </w:rPr>
            </w:pPr>
            <w:r>
              <w:rPr>
                <w:b w:val="0"/>
                <w:bCs w:val="0"/>
                <w:color w:val="auto"/>
                <w:spacing w:val="1"/>
              </w:rPr>
              <w:t>档案整理</w:t>
            </w:r>
          </w:p>
          <w:p w14:paraId="13312A34">
            <w:pPr>
              <w:pStyle w:val="7"/>
              <w:spacing w:before="117" w:line="227" w:lineRule="auto"/>
              <w:ind w:left="112" w:right="32" w:hanging="7"/>
              <w:jc w:val="center"/>
              <w:rPr>
                <w:b w:val="0"/>
                <w:bCs w:val="0"/>
                <w:color w:val="auto"/>
                <w:spacing w:val="1"/>
              </w:rPr>
            </w:pPr>
            <w:r>
              <w:rPr>
                <w:b w:val="0"/>
                <w:bCs w:val="0"/>
                <w:color w:val="auto"/>
                <w:spacing w:val="1"/>
              </w:rPr>
              <w:t>及数字化</w:t>
            </w:r>
          </w:p>
          <w:p w14:paraId="0FA4127E">
            <w:pPr>
              <w:pStyle w:val="7"/>
              <w:spacing w:before="117" w:line="227" w:lineRule="auto"/>
              <w:ind w:left="112" w:right="32" w:hanging="7"/>
              <w:jc w:val="center"/>
              <w:rPr>
                <w:b w:val="0"/>
                <w:bCs w:val="0"/>
                <w:color w:val="auto"/>
                <w:spacing w:val="1"/>
              </w:rPr>
            </w:pPr>
            <w:r>
              <w:rPr>
                <w:b w:val="0"/>
                <w:bCs w:val="0"/>
                <w:color w:val="auto"/>
                <w:spacing w:val="1"/>
              </w:rPr>
              <w:t>全流程制作</w:t>
            </w:r>
          </w:p>
        </w:tc>
        <w:tc>
          <w:tcPr>
            <w:tcW w:w="7450" w:type="dxa"/>
            <w:tcBorders>
              <w:right w:val="single" w:color="000000" w:sz="10" w:space="0"/>
            </w:tcBorders>
            <w:vAlign w:val="top"/>
          </w:tcPr>
          <w:p w14:paraId="594644F7">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档案分类。将现有未归档的零星材料一次性补充至干部档案中；按照《干部人事档案工作条例》《样卷》进行分类，严格把关十大类的分类和排序标准。</w:t>
            </w:r>
          </w:p>
        </w:tc>
      </w:tr>
      <w:tr w14:paraId="6ADA5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1361" w:type="dxa"/>
            <w:vMerge w:val="continue"/>
            <w:tcBorders>
              <w:top w:val="nil"/>
              <w:left w:val="single" w:color="000000" w:sz="10" w:space="0"/>
              <w:bottom w:val="nil"/>
            </w:tcBorders>
            <w:vAlign w:val="top"/>
          </w:tcPr>
          <w:p w14:paraId="679EF291">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5DAFE868">
            <w:pPr>
              <w:pStyle w:val="7"/>
              <w:spacing w:before="117" w:line="227" w:lineRule="auto"/>
              <w:ind w:left="112" w:right="32" w:hanging="7"/>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档案查缺。根据闽委组通〔2008〕71号文件中《新任省管干部档案审核验收评分表》对干部档案进行检查，甄别材料完整性、规范性，并登记存在的问题，形成干部档案查缺单交由采购人进行材料补充工作。该卷干部人事档案查缺后补充时间为1个月，1个月内补充的材料由成交供应商进行归档及数字化，1个月后补充的材料和本期项目实施期间形成的新的档案材料不属于本期项目实施范围。</w:t>
            </w:r>
          </w:p>
        </w:tc>
      </w:tr>
      <w:tr w14:paraId="4B505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361" w:type="dxa"/>
            <w:vMerge w:val="continue"/>
            <w:tcBorders>
              <w:top w:val="nil"/>
              <w:left w:val="single" w:color="000000" w:sz="10" w:space="0"/>
              <w:bottom w:val="nil"/>
            </w:tcBorders>
            <w:vAlign w:val="top"/>
          </w:tcPr>
          <w:p w14:paraId="328223E2">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0FEB89D9">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档案编码。严格把关每份材料的类号、页码编注标准；档案材料排序完成后，用铅笔在每份材料首页的右上角编上类号和顺序号，并在其右下角编写页码。</w:t>
            </w:r>
          </w:p>
        </w:tc>
      </w:tr>
      <w:tr w14:paraId="33221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61" w:type="dxa"/>
            <w:vMerge w:val="continue"/>
            <w:tcBorders>
              <w:top w:val="nil"/>
              <w:left w:val="single" w:color="000000" w:sz="10" w:space="0"/>
              <w:bottom w:val="nil"/>
            </w:tcBorders>
            <w:vAlign w:val="top"/>
          </w:tcPr>
          <w:p w14:paraId="5CB444EB">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3FC8062C">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人员建库。根据《干部人事档案数字化技术规范》中所列人员基本信息集数据格式要求进行姓名、性别、民族、出生日期、居民身份证号码等信息项进行数据采集。</w:t>
            </w:r>
          </w:p>
        </w:tc>
      </w:tr>
      <w:tr w14:paraId="6086A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1361" w:type="dxa"/>
            <w:vMerge w:val="continue"/>
            <w:tcBorders>
              <w:top w:val="nil"/>
              <w:left w:val="single" w:color="000000" w:sz="10" w:space="0"/>
              <w:bottom w:val="nil"/>
            </w:tcBorders>
            <w:vAlign w:val="top"/>
          </w:tcPr>
          <w:p w14:paraId="18B86081">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07DA3C1C">
            <w:pPr>
              <w:pStyle w:val="7"/>
              <w:spacing w:before="117" w:line="227" w:lineRule="auto"/>
              <w:ind w:left="112" w:right="32" w:hanging="7"/>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目录建库。根据《干部人事档案数字化技术规范》中干部人事档案目录格式的要求，对类号、序号、材料名称、材料形成时间、页数、备注进行档案目录录入，录入内容规范、准确。</w:t>
            </w:r>
          </w:p>
        </w:tc>
      </w:tr>
      <w:tr w14:paraId="7B88A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361" w:type="dxa"/>
            <w:vMerge w:val="continue"/>
            <w:tcBorders>
              <w:top w:val="nil"/>
              <w:left w:val="single" w:color="000000" w:sz="10" w:space="0"/>
              <w:bottom w:val="nil"/>
            </w:tcBorders>
            <w:vAlign w:val="top"/>
          </w:tcPr>
          <w:p w14:paraId="3B958ACE">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75D17AEE">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档案裱糊。根据《文件改版涉及干部人事档案有关工作的通知》要求进行裱糊工作，对破损、卷角、褶皱和小于16开规格的档案材料进行裱糊，做到整卷档案材料不出现压字和损伤材料内容的情况，档案材料不出现多孔、乱孔现象。</w:t>
            </w:r>
          </w:p>
        </w:tc>
      </w:tr>
      <w:tr w14:paraId="45D50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361" w:type="dxa"/>
            <w:vMerge w:val="continue"/>
            <w:tcBorders>
              <w:top w:val="nil"/>
              <w:left w:val="single" w:color="000000" w:sz="10" w:space="0"/>
              <w:bottom w:val="nil"/>
            </w:tcBorders>
            <w:vAlign w:val="top"/>
          </w:tcPr>
          <w:p w14:paraId="150634D7">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01E732EA">
            <w:pPr>
              <w:pStyle w:val="7"/>
              <w:spacing w:before="117" w:line="227" w:lineRule="auto"/>
              <w:ind w:left="112" w:right="32" w:hanging="7"/>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打印装订。根据《文件改版涉及干部人事档案有关工作的通知》要求打印干部档案目录，将整理好的档案材料和目录装入档案盒中，审核目录和档案材料一致性，做到下边与左边齐整，不脱页，不掉页，卷面整洁，装订结实。</w:t>
            </w:r>
          </w:p>
        </w:tc>
      </w:tr>
      <w:tr w14:paraId="4366B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1361" w:type="dxa"/>
            <w:vMerge w:val="continue"/>
            <w:tcBorders>
              <w:top w:val="nil"/>
              <w:left w:val="single" w:color="000000" w:sz="10" w:space="0"/>
              <w:bottom w:val="nil"/>
            </w:tcBorders>
            <w:vAlign w:val="top"/>
          </w:tcPr>
          <w:p w14:paraId="31BF2BA7">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6184D8FC">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档案扫描。根据《干部人事档案数字化技术规范》要求，扫描应根据纸质档案材料的具体情况，采用合理的扫描方式进行扫描。对于纸张状况较差、容易损坏的档案，应采用平板扫描方式；对于纸张较薄的档案，若扫描时发生背页字迹透印而影响图像阅读的现象，应在背页后垫白色衬底扫描。</w:t>
            </w:r>
          </w:p>
        </w:tc>
      </w:tr>
      <w:tr w14:paraId="1BE85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1361" w:type="dxa"/>
            <w:vMerge w:val="continue"/>
            <w:tcBorders>
              <w:top w:val="nil"/>
              <w:left w:val="single" w:color="000000" w:sz="10" w:space="0"/>
              <w:bottom w:val="nil"/>
            </w:tcBorders>
            <w:vAlign w:val="top"/>
          </w:tcPr>
          <w:p w14:paraId="72227C5C">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4D2DA449">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原始图像处理。根据《干部人事档案数字化技术规范》要求，对偏斜度大于1°的图像进行纠偏处理，纠偏后距离显示器25cm-40cm观看图像应没有明显偏斜。对方向不正确的图像应旋转还原。纠偏后的图像应进行裁边处理，去除扫描过程中产生的白边或黑边。</w:t>
            </w:r>
          </w:p>
        </w:tc>
      </w:tr>
      <w:tr w14:paraId="52B7A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1361" w:type="dxa"/>
            <w:vMerge w:val="continue"/>
            <w:tcBorders>
              <w:top w:val="nil"/>
              <w:left w:val="single" w:color="000000" w:sz="10" w:space="0"/>
              <w:bottom w:val="nil"/>
            </w:tcBorders>
            <w:vAlign w:val="top"/>
          </w:tcPr>
          <w:p w14:paraId="7EC5CF8A">
            <w:pPr>
              <w:pStyle w:val="7"/>
              <w:spacing w:before="117" w:line="227" w:lineRule="auto"/>
              <w:ind w:left="112" w:right="32" w:hanging="7"/>
              <w:jc w:val="center"/>
              <w:rPr>
                <w:b w:val="0"/>
                <w:bCs w:val="0"/>
                <w:color w:val="auto"/>
                <w:spacing w:val="1"/>
              </w:rPr>
            </w:pPr>
          </w:p>
        </w:tc>
        <w:tc>
          <w:tcPr>
            <w:tcW w:w="7450" w:type="dxa"/>
            <w:tcBorders>
              <w:right w:val="single" w:color="000000" w:sz="10" w:space="0"/>
            </w:tcBorders>
            <w:vAlign w:val="top"/>
          </w:tcPr>
          <w:p w14:paraId="31B2E5E4">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高清图像处理。</w:t>
            </w:r>
            <w:r>
              <w:rPr>
                <w:rFonts w:hint="default" w:ascii="宋体" w:hAnsi="宋体" w:eastAsia="宋体" w:cs="宋体"/>
                <w:i w:val="0"/>
                <w:iCs w:val="0"/>
                <w:color w:val="auto"/>
                <w:kern w:val="0"/>
                <w:sz w:val="21"/>
                <w:szCs w:val="21"/>
                <w:u w:val="none"/>
                <w:lang w:val="en-US" w:eastAsia="zh-CN" w:bidi="ar"/>
              </w:rPr>
              <w:t>根据《干部人事档案数字化技术规范》要求，原始图像中带有黑白、彩色照片的，应采用人工方式处理，以使优化图像中的照片得到更佳的视觉效果或与原始图像的视觉效果相符。原始图像中带有印章的图像区域应采用人工方式处理。带有身份证、学历证件、复印件及带有防伪技术的原始图像，或内容不清晰的红色或紫色背景的早期麻纸基材等，优化处理后仍不具有较好辨识效果的，应直接引用原始图像数据。</w:t>
            </w:r>
          </w:p>
        </w:tc>
      </w:tr>
      <w:tr w14:paraId="41C16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361" w:type="dxa"/>
            <w:vMerge w:val="continue"/>
            <w:tcBorders>
              <w:top w:val="nil"/>
              <w:left w:val="single" w:color="000000" w:sz="10" w:space="0"/>
              <w:bottom w:val="single" w:color="000000" w:sz="10" w:space="0"/>
            </w:tcBorders>
            <w:vAlign w:val="top"/>
          </w:tcPr>
          <w:p w14:paraId="4984E8F9">
            <w:pPr>
              <w:pStyle w:val="7"/>
              <w:spacing w:before="117" w:line="227" w:lineRule="auto"/>
              <w:ind w:left="112" w:right="32" w:hanging="7"/>
              <w:jc w:val="center"/>
              <w:rPr>
                <w:b w:val="0"/>
                <w:bCs w:val="0"/>
                <w:color w:val="auto"/>
                <w:spacing w:val="1"/>
              </w:rPr>
            </w:pPr>
          </w:p>
        </w:tc>
        <w:tc>
          <w:tcPr>
            <w:tcW w:w="7450" w:type="dxa"/>
            <w:tcBorders>
              <w:bottom w:val="single" w:color="000000" w:sz="10" w:space="0"/>
              <w:right w:val="single" w:color="000000" w:sz="10" w:space="0"/>
            </w:tcBorders>
            <w:vAlign w:val="top"/>
          </w:tcPr>
          <w:p w14:paraId="1718C338">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default" w:ascii="宋体" w:hAnsi="宋体" w:eastAsia="宋体" w:cs="宋体"/>
                <w:i w:val="0"/>
                <w:iCs w:val="0"/>
                <w:color w:val="auto"/>
                <w:kern w:val="0"/>
                <w:sz w:val="21"/>
                <w:szCs w:val="21"/>
                <w:u w:val="none"/>
                <w:lang w:val="en-US" w:eastAsia="zh-CN" w:bidi="ar"/>
              </w:rPr>
              <w:t>数据质检</w:t>
            </w:r>
            <w:r>
              <w:rPr>
                <w:rFonts w:hint="eastAsia" w:ascii="宋体" w:hAnsi="宋体" w:eastAsia="宋体" w:cs="宋体"/>
                <w:i w:val="0"/>
                <w:iCs w:val="0"/>
                <w:color w:val="auto"/>
                <w:kern w:val="0"/>
                <w:sz w:val="21"/>
                <w:szCs w:val="21"/>
                <w:u w:val="none"/>
                <w:lang w:val="en-US" w:eastAsia="zh-CN" w:bidi="ar"/>
              </w:rPr>
              <w:t>及</w:t>
            </w:r>
            <w:r>
              <w:rPr>
                <w:rFonts w:hint="default" w:ascii="宋体" w:hAnsi="宋体" w:eastAsia="宋体" w:cs="宋体"/>
                <w:i w:val="0"/>
                <w:iCs w:val="0"/>
                <w:color w:val="auto"/>
                <w:kern w:val="0"/>
                <w:sz w:val="21"/>
                <w:szCs w:val="21"/>
                <w:u w:val="none"/>
                <w:lang w:val="en-US" w:eastAsia="zh-CN" w:bidi="ar"/>
              </w:rPr>
              <w:t>数据备份</w:t>
            </w:r>
            <w:r>
              <w:rPr>
                <w:rFonts w:hint="eastAsia" w:ascii="宋体" w:hAnsi="宋体" w:eastAsia="宋体" w:cs="宋体"/>
                <w:i w:val="0"/>
                <w:iCs w:val="0"/>
                <w:color w:val="auto"/>
                <w:kern w:val="0"/>
                <w:sz w:val="21"/>
                <w:szCs w:val="21"/>
                <w:u w:val="none"/>
                <w:lang w:val="en-US" w:eastAsia="zh-CN" w:bidi="ar"/>
              </w:rPr>
              <w:t>。</w:t>
            </w:r>
            <w:r>
              <w:rPr>
                <w:rFonts w:hint="default" w:ascii="宋体" w:hAnsi="宋体" w:eastAsia="宋体" w:cs="宋体"/>
                <w:i w:val="0"/>
                <w:iCs w:val="0"/>
                <w:color w:val="auto"/>
                <w:kern w:val="0"/>
                <w:sz w:val="21"/>
                <w:szCs w:val="21"/>
                <w:u w:val="none"/>
                <w:lang w:val="en-US" w:eastAsia="zh-CN" w:bidi="ar"/>
              </w:rPr>
              <w:t>根据《干部人事档案数字化技术规范》要求，档案目录应与纸质档案材料内容相符，档案目录条数应与纸质档案材料数量相符；图像方向正确，页码连续；图像中档案信息与纸质档案一致，图像数量与纸质档案一致，图像的排列顺序与纸质档案一致，图像与目录一一对应；优化图像与原始图像尺寸一致。提供人员基本信息、干部人事档案目录信息、原始图像数据、优化图像数据的备份服务。</w:t>
            </w:r>
          </w:p>
        </w:tc>
      </w:tr>
      <w:tr w14:paraId="15EC1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361" w:type="dxa"/>
            <w:tcBorders>
              <w:top w:val="single" w:color="000000" w:sz="10" w:space="0"/>
              <w:left w:val="single" w:color="000000" w:sz="10" w:space="0"/>
              <w:bottom w:val="single" w:color="000000" w:sz="10" w:space="0"/>
            </w:tcBorders>
            <w:shd w:val="clear" w:color="auto" w:fill="auto"/>
            <w:vAlign w:val="center"/>
          </w:tcPr>
          <w:p w14:paraId="5081B65A">
            <w:pPr>
              <w:pStyle w:val="7"/>
              <w:spacing w:before="117" w:line="227" w:lineRule="auto"/>
              <w:ind w:left="112" w:right="32" w:hanging="7"/>
              <w:jc w:val="center"/>
              <w:rPr>
                <w:rFonts w:hint="eastAsia"/>
                <w:b w:val="0"/>
                <w:bCs w:val="0"/>
                <w:color w:val="auto"/>
                <w:spacing w:val="1"/>
                <w:lang w:val="en-US" w:eastAsia="zh-CN"/>
              </w:rPr>
            </w:pPr>
            <w:r>
              <w:rPr>
                <w:rFonts w:hint="eastAsia"/>
                <w:b w:val="0"/>
                <w:bCs w:val="0"/>
                <w:color w:val="auto"/>
                <w:spacing w:val="1"/>
                <w:lang w:val="en-US" w:eastAsia="zh-CN"/>
              </w:rPr>
              <w:t>干部档案采集软件</w:t>
            </w:r>
          </w:p>
        </w:tc>
        <w:tc>
          <w:tcPr>
            <w:tcW w:w="7450" w:type="dxa"/>
            <w:tcBorders>
              <w:top w:val="single" w:color="000000" w:sz="10" w:space="0"/>
              <w:bottom w:val="single" w:color="000000" w:sz="10" w:space="0"/>
              <w:right w:val="single" w:color="000000" w:sz="10" w:space="0"/>
            </w:tcBorders>
            <w:shd w:val="clear" w:color="auto" w:fill="auto"/>
            <w:vAlign w:val="center"/>
          </w:tcPr>
          <w:p w14:paraId="635A2F2E">
            <w:pPr>
              <w:pStyle w:val="7"/>
              <w:spacing w:before="117" w:line="227" w:lineRule="auto"/>
              <w:ind w:left="112" w:right="32" w:hanging="7"/>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single"/>
                <w:lang w:val="en-US" w:eastAsia="zh-CN" w:bidi="ar"/>
              </w:rPr>
              <w:t>1套</w:t>
            </w:r>
            <w:r>
              <w:rPr>
                <w:rFonts w:hint="eastAsia" w:ascii="宋体" w:hAnsi="宋体" w:eastAsia="宋体" w:cs="宋体"/>
                <w:i w:val="0"/>
                <w:iCs w:val="0"/>
                <w:color w:val="auto"/>
                <w:kern w:val="0"/>
                <w:sz w:val="21"/>
                <w:szCs w:val="21"/>
                <w:u w:val="none"/>
                <w:lang w:val="en-US" w:eastAsia="zh-CN" w:bidi="ar"/>
              </w:rPr>
              <w:t>干部档案采集软件：具备干部数字档案基本信息表维护、干部档案目录维护、档案数字化扫描、数字档案图像处理、数字图像高清转换、数字档案光盘制作、数据导入等。</w:t>
            </w:r>
          </w:p>
        </w:tc>
      </w:tr>
      <w:tr w14:paraId="25D9D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361" w:type="dxa"/>
            <w:tcBorders>
              <w:top w:val="single" w:color="000000" w:sz="10" w:space="0"/>
              <w:left w:val="single" w:color="000000" w:sz="10" w:space="0"/>
              <w:bottom w:val="single" w:color="000000" w:sz="10" w:space="0"/>
            </w:tcBorders>
            <w:shd w:val="clear" w:color="auto" w:fill="auto"/>
            <w:vAlign w:val="top"/>
          </w:tcPr>
          <w:p w14:paraId="2E108150">
            <w:pPr>
              <w:pStyle w:val="7"/>
              <w:spacing w:before="117" w:line="227" w:lineRule="auto"/>
              <w:ind w:left="112" w:right="32" w:hanging="7"/>
              <w:jc w:val="center"/>
              <w:rPr>
                <w:rFonts w:hint="eastAsia"/>
                <w:b w:val="0"/>
                <w:bCs w:val="0"/>
                <w:color w:val="auto"/>
                <w:spacing w:val="1"/>
                <w:lang w:val="en-US" w:eastAsia="zh-CN"/>
              </w:rPr>
            </w:pPr>
            <w:r>
              <w:rPr>
                <w:rFonts w:hint="eastAsia"/>
                <w:b w:val="0"/>
                <w:bCs w:val="0"/>
                <w:color w:val="auto"/>
                <w:spacing w:val="1"/>
                <w:lang w:eastAsia="zh-CN"/>
              </w:rPr>
              <w:t>相关配备硬件设备要求</w:t>
            </w:r>
          </w:p>
        </w:tc>
        <w:tc>
          <w:tcPr>
            <w:tcW w:w="7450" w:type="dxa"/>
            <w:tcBorders>
              <w:top w:val="single" w:color="000000" w:sz="10" w:space="0"/>
              <w:bottom w:val="single" w:color="000000" w:sz="10" w:space="0"/>
              <w:right w:val="single" w:color="000000" w:sz="10" w:space="0"/>
            </w:tcBorders>
            <w:shd w:val="clear" w:color="auto" w:fill="auto"/>
            <w:vAlign w:val="top"/>
          </w:tcPr>
          <w:p w14:paraId="0B6427B6">
            <w:pPr>
              <w:pStyle w:val="7"/>
              <w:spacing w:before="117" w:line="227" w:lineRule="auto"/>
              <w:ind w:left="112" w:right="32" w:hanging="7"/>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供应商需自带项目实施需要的干部数字档案采集专用扫描仪，项目结束后撤出。扫描仪须符合</w:t>
            </w:r>
            <w:r>
              <w:rPr>
                <w:rFonts w:hint="eastAsia" w:ascii="宋体" w:hAnsi="宋体" w:eastAsia="宋体" w:cs="宋体"/>
                <w:i w:val="0"/>
                <w:iCs w:val="0"/>
                <w:color w:val="auto"/>
                <w:kern w:val="0"/>
                <w:sz w:val="21"/>
                <w:szCs w:val="21"/>
                <w:u w:val="none"/>
                <w:lang w:val="en-US" w:eastAsia="en-US" w:bidi="ar"/>
              </w:rPr>
              <w:t>《中华人民共和国保守国家秘密法实施办法》、《关于严禁用涉密计算机上国际互联网的通知》（中保委</w:t>
            </w:r>
            <w:r>
              <w:rPr>
                <w:rFonts w:hint="eastAsia" w:ascii="宋体" w:hAnsi="宋体" w:eastAsia="宋体" w:cs="宋体"/>
                <w:i w:val="0"/>
                <w:iCs w:val="0"/>
                <w:color w:val="auto"/>
                <w:kern w:val="0"/>
                <w:sz w:val="21"/>
                <w:szCs w:val="21"/>
                <w:u w:val="none"/>
                <w:lang w:val="en-US" w:eastAsia="zh-CN" w:bidi="ar"/>
              </w:rPr>
              <w:t>〔</w:t>
            </w:r>
            <w:bookmarkStart w:id="0" w:name="_GoBack"/>
            <w:bookmarkEnd w:id="0"/>
            <w:r>
              <w:rPr>
                <w:rFonts w:hint="eastAsia" w:ascii="宋体" w:hAnsi="宋体" w:eastAsia="宋体" w:cs="宋体"/>
                <w:i w:val="0"/>
                <w:iCs w:val="0"/>
                <w:color w:val="auto"/>
                <w:kern w:val="0"/>
                <w:sz w:val="21"/>
                <w:szCs w:val="21"/>
                <w:u w:val="none"/>
                <w:lang w:val="en-US" w:eastAsia="en-US" w:bidi="ar"/>
              </w:rPr>
              <w:t>2003</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en-US" w:bidi="ar"/>
              </w:rPr>
              <w:t>4 号）、《档案数字化外包安全管理规范》（档办发</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en-US" w:bidi="ar"/>
              </w:rPr>
              <w:t>2014</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en-US" w:bidi="ar"/>
              </w:rPr>
              <w:t>7 号）、《档案服务外包工作规范》（DA/T 68-2020）、《计算机信息系统保密管理暂行规定》 (国保发</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en-US" w:bidi="ar"/>
              </w:rPr>
              <w:t>1998</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en-US" w:bidi="ar"/>
              </w:rPr>
              <w:t>1 号)等，同时符合国家标准《干部人事档案数字化技术规范》(GB/T 33870-2017)和福建省委组织部《新任省管干部数字档案报送标准》等相关要求，干部人事档案数字化成果数据能导入福建省委组织部</w:t>
            </w:r>
            <w:r>
              <w:rPr>
                <w:rFonts w:hint="eastAsia" w:ascii="宋体" w:hAnsi="宋体" w:eastAsia="宋体" w:cs="宋体"/>
                <w:i w:val="0"/>
                <w:iCs w:val="0"/>
                <w:color w:val="auto"/>
                <w:kern w:val="0"/>
                <w:sz w:val="21"/>
                <w:szCs w:val="21"/>
                <w:u w:val="none"/>
                <w:lang w:val="en-US" w:eastAsia="zh-CN" w:bidi="ar"/>
              </w:rPr>
              <w:t>及上级部门的干部人事档案管理系统</w:t>
            </w:r>
            <w:r>
              <w:rPr>
                <w:rFonts w:hint="eastAsia" w:ascii="宋体" w:hAnsi="宋体" w:eastAsia="宋体" w:cs="宋体"/>
                <w:i w:val="0"/>
                <w:iCs w:val="0"/>
                <w:color w:val="auto"/>
                <w:kern w:val="0"/>
                <w:sz w:val="21"/>
                <w:szCs w:val="21"/>
                <w:u w:val="none"/>
                <w:lang w:val="en-US" w:eastAsia="en-US" w:bidi="ar"/>
              </w:rPr>
              <w:t>。</w:t>
            </w:r>
          </w:p>
        </w:tc>
      </w:tr>
      <w:tr w14:paraId="113AF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8" w:hRule="atLeast"/>
        </w:trPr>
        <w:tc>
          <w:tcPr>
            <w:tcW w:w="1361" w:type="dxa"/>
            <w:tcBorders>
              <w:top w:val="single" w:color="000000" w:sz="10" w:space="0"/>
              <w:left w:val="single" w:color="000000" w:sz="10" w:space="0"/>
            </w:tcBorders>
            <w:shd w:val="clear" w:color="auto" w:fill="auto"/>
            <w:vAlign w:val="top"/>
          </w:tcPr>
          <w:p w14:paraId="7120ECFF">
            <w:pPr>
              <w:pStyle w:val="7"/>
              <w:spacing w:before="117" w:line="227" w:lineRule="auto"/>
              <w:ind w:left="112" w:right="32" w:hanging="7"/>
              <w:jc w:val="center"/>
              <w:rPr>
                <w:rFonts w:hint="eastAsia"/>
                <w:b w:val="0"/>
                <w:bCs w:val="0"/>
                <w:color w:val="auto"/>
                <w:spacing w:val="1"/>
                <w:lang w:val="en-US" w:eastAsia="zh-CN"/>
              </w:rPr>
            </w:pPr>
          </w:p>
          <w:p w14:paraId="67927733">
            <w:pPr>
              <w:pStyle w:val="7"/>
              <w:spacing w:before="117" w:line="227" w:lineRule="auto"/>
              <w:ind w:left="112" w:right="32" w:hanging="7"/>
              <w:jc w:val="center"/>
              <w:rPr>
                <w:rFonts w:hint="eastAsia"/>
                <w:b w:val="0"/>
                <w:bCs w:val="0"/>
                <w:color w:val="auto"/>
                <w:spacing w:val="1"/>
                <w:lang w:val="en-US" w:eastAsia="zh-CN"/>
              </w:rPr>
            </w:pPr>
          </w:p>
          <w:p w14:paraId="5CEDCC16">
            <w:pPr>
              <w:pStyle w:val="7"/>
              <w:spacing w:before="117" w:line="227" w:lineRule="auto"/>
              <w:ind w:left="112" w:right="32" w:hanging="7"/>
              <w:jc w:val="center"/>
              <w:rPr>
                <w:rFonts w:hint="default"/>
                <w:b w:val="0"/>
                <w:bCs w:val="0"/>
                <w:color w:val="auto"/>
                <w:spacing w:val="1"/>
                <w:lang w:val="en-US" w:eastAsia="zh-CN"/>
              </w:rPr>
            </w:pPr>
            <w:r>
              <w:rPr>
                <w:rFonts w:hint="eastAsia"/>
                <w:b w:val="0"/>
                <w:bCs w:val="0"/>
                <w:color w:val="auto"/>
                <w:spacing w:val="1"/>
                <w:lang w:val="en-US" w:eastAsia="zh-CN"/>
              </w:rPr>
              <w:t>验收标准</w:t>
            </w:r>
          </w:p>
        </w:tc>
        <w:tc>
          <w:tcPr>
            <w:tcW w:w="7450" w:type="dxa"/>
            <w:tcBorders>
              <w:top w:val="single" w:color="000000" w:sz="10" w:space="0"/>
              <w:right w:val="single" w:color="000000" w:sz="10" w:space="0"/>
            </w:tcBorders>
            <w:shd w:val="clear" w:color="auto" w:fill="auto"/>
            <w:vAlign w:val="top"/>
          </w:tcPr>
          <w:p w14:paraId="015B2FEF">
            <w:pPr>
              <w:pStyle w:val="7"/>
              <w:spacing w:before="117" w:line="227" w:lineRule="auto"/>
              <w:ind w:left="112" w:right="32" w:hanging="7"/>
              <w:jc w:val="both"/>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供应商制作的档案成果须符合《干部人事档案数字化技术规范》（国标GB/T33870-2017）、中组部《干部档案整理工作细则》、《关于做好文件改版涉及干部人事档案有关工作的通知》、《干部人事档案审核验收工作检查办法》、《新任中管干部数字档案报送标准（试行）》、《福建省电子文件归档和电子档案管理办法（试行）》、《新任省管干部档案接收标准》、《报送新任省管干部数字档案的通知》等规定，以中组部最新标准为最终依据。验收中一旦发现问题，成交人需逐卷、逐页、逐条重新自检，自检合格后再次提交验收。如发现档案丢失、损坏、圈划或涂改等问题，给采购人造成损失的，将追究相关责任。</w:t>
            </w:r>
          </w:p>
        </w:tc>
      </w:tr>
    </w:tbl>
    <w:p w14:paraId="0D721A8D">
      <w:pPr>
        <w:pStyle w:val="9"/>
        <w:ind w:left="0" w:leftChars="0" w:firstLine="0" w:firstLineChars="0"/>
        <w:rPr>
          <w:rFonts w:hint="eastAsia"/>
          <w:color w:val="auto"/>
        </w:rPr>
      </w:pPr>
    </w:p>
    <w:p w14:paraId="7756ABA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93389"/>
    <w:multiLevelType w:val="multilevel"/>
    <w:tmpl w:val="4C093389"/>
    <w:lvl w:ilvl="0" w:tentative="0">
      <w:start w:val="1"/>
      <w:numFmt w:val="chineseCounting"/>
      <w:suff w:val="space"/>
      <w:lvlText w:val="%1、"/>
      <w:lvlJc w:val="left"/>
      <w:pPr>
        <w:ind w:left="0" w:firstLine="0"/>
      </w:pPr>
      <w:rPr>
        <w:rFonts w:hint="eastAsia" w:ascii="宋体" w:hAnsi="宋体" w:eastAsia="宋体" w:cs="宋体"/>
        <w:b/>
        <w:i w:val="0"/>
        <w:caps w:val="0"/>
        <w:strike w:val="0"/>
        <w:dstrike w:val="0"/>
        <w:vanish w:val="0"/>
        <w:sz w:val="44"/>
        <w:vertAlign w:val="baseline"/>
      </w:rPr>
    </w:lvl>
    <w:lvl w:ilvl="1" w:tentative="0">
      <w:start w:val="1"/>
      <w:numFmt w:val="decimal"/>
      <w:suff w:val="space"/>
      <w:lvlText w:val="%1-%2"/>
      <w:lvlJc w:val="left"/>
      <w:pPr>
        <w:tabs>
          <w:tab w:val="left" w:pos="0"/>
        </w:tabs>
        <w:ind w:left="0" w:firstLine="0"/>
      </w:pPr>
      <w:rPr>
        <w:rFonts w:hint="eastAsia" w:ascii="宋体" w:hAnsi="宋体" w:eastAsia="宋体" w:cs="宋体"/>
        <w:b/>
        <w:i w:val="0"/>
        <w:sz w:val="32"/>
      </w:rPr>
    </w:lvl>
    <w:lvl w:ilvl="2" w:tentative="0">
      <w:start w:val="1"/>
      <w:numFmt w:val="decimalEnclosedCircleChinese"/>
      <w:pStyle w:val="2"/>
      <w:suff w:val="space"/>
      <w:lvlText w:val="%1-%2.%3"/>
      <w:lvlJc w:val="left"/>
      <w:pPr>
        <w:ind w:left="0" w:firstLine="0"/>
      </w:pPr>
      <w:rPr>
        <w:rFonts w:hint="eastAsia" w:ascii="宋体" w:hAnsi="宋体" w:eastAsia="宋体" w:cs="宋体"/>
        <w:b/>
        <w:i w:val="0"/>
        <w:sz w:val="32"/>
        <w:szCs w:val="32"/>
      </w:rPr>
    </w:lvl>
    <w:lvl w:ilvl="3" w:tentative="0">
      <w:start w:val="1"/>
      <w:numFmt w:val="decimal"/>
      <w:suff w:val="space"/>
      <w:lvlText w:val="%1.%2.%3.%4"/>
      <w:lvlJc w:val="left"/>
      <w:pPr>
        <w:tabs>
          <w:tab w:val="left" w:pos="0"/>
        </w:tabs>
        <w:ind w:left="0" w:firstLine="0"/>
      </w:pPr>
      <w:rPr>
        <w:rFonts w:hint="eastAsia" w:ascii="宋体" w:hAnsi="宋体" w:eastAsia="宋体" w:cs="宋体"/>
        <w:b/>
        <w:i w:val="0"/>
        <w:sz w:val="30"/>
      </w:rPr>
    </w:lvl>
    <w:lvl w:ilvl="4" w:tentative="0">
      <w:start w:val="1"/>
      <w:numFmt w:val="decimal"/>
      <w:suff w:val="space"/>
      <w:lvlText w:val="%1.%2.%3.%4.%5"/>
      <w:lvlJc w:val="left"/>
      <w:pPr>
        <w:tabs>
          <w:tab w:val="left" w:pos="0"/>
        </w:tabs>
        <w:ind w:left="0" w:firstLine="0"/>
      </w:pPr>
      <w:rPr>
        <w:rFonts w:hint="eastAsia" w:ascii="宋体" w:hAnsi="宋体" w:eastAsia="宋体" w:cs="宋体"/>
        <w:b/>
        <w:i w:val="0"/>
        <w:sz w:val="28"/>
      </w:rPr>
    </w:lvl>
    <w:lvl w:ilvl="5" w:tentative="0">
      <w:start w:val="1"/>
      <w:numFmt w:val="decimal"/>
      <w:suff w:val="space"/>
      <w:lvlText w:val="%1.%2.%3.%4.%5.%6"/>
      <w:lvlJc w:val="left"/>
      <w:pPr>
        <w:ind w:left="0" w:firstLine="0"/>
      </w:pPr>
      <w:rPr>
        <w:rFonts w:hint="eastAsia" w:ascii="宋体" w:hAnsi="宋体" w:eastAsia="宋体" w:cs="宋体"/>
      </w:rPr>
    </w:lvl>
    <w:lvl w:ilvl="6" w:tentative="0">
      <w:start w:val="1"/>
      <w:numFmt w:val="decimal"/>
      <w:suff w:val="space"/>
      <w:lvlText w:val="%1.%2.%3.%4.%5.%6.%7"/>
      <w:lvlJc w:val="left"/>
      <w:pPr>
        <w:ind w:left="0" w:firstLine="0"/>
      </w:pPr>
      <w:rPr>
        <w:rFonts w:hint="eastAsia" w:ascii="宋体" w:hAnsi="宋体" w:eastAsia="宋体" w:cs="宋体"/>
      </w:rPr>
    </w:lvl>
    <w:lvl w:ilvl="7" w:tentative="0">
      <w:start w:val="1"/>
      <w:numFmt w:val="decimal"/>
      <w:suff w:val="space"/>
      <w:lvlText w:val="%1.%2.%3.%4.%5.%6.%7.%8"/>
      <w:lvlJc w:val="left"/>
      <w:pPr>
        <w:ind w:left="0" w:firstLine="0"/>
      </w:pPr>
      <w:rPr>
        <w:rFonts w:hint="eastAsia" w:ascii="宋体" w:hAnsi="宋体" w:eastAsia="宋体" w:cs="宋体"/>
      </w:rPr>
    </w:lvl>
    <w:lvl w:ilvl="8" w:tentative="0">
      <w:start w:val="1"/>
      <w:numFmt w:val="decimal"/>
      <w:suff w:val="space"/>
      <w:lvlText w:val="%1.%2.%3.%4.%5.%6.%7.%8.%9"/>
      <w:lvlJc w:val="left"/>
      <w:pPr>
        <w:ind w:left="0" w:firstLine="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E230F"/>
    <w:rsid w:val="00DC1392"/>
    <w:rsid w:val="1DE46552"/>
    <w:rsid w:val="6DBE2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Web)"/>
    <w:basedOn w:val="1"/>
    <w:next w:val="4"/>
    <w:qFormat/>
    <w:uiPriority w:val="0"/>
    <w:pPr>
      <w:spacing w:line="390" w:lineRule="atLeast"/>
      <w:ind w:firstLine="420"/>
      <w:jc w:val="left"/>
    </w:pPr>
    <w:rPr>
      <w:rFonts w:cs="Times New Roman"/>
      <w:spacing w:val="21"/>
      <w:kern w:val="0"/>
      <w:sz w:val="24"/>
    </w:rPr>
  </w:style>
  <w:style w:type="paragraph" w:customStyle="1" w:styleId="4">
    <w:name w:val="样式 标题 3 + (中文) 黑体 小四 非加粗 段前: 7.8 磅 段后: 0 磅 行距: 固定值 20 磅"/>
    <w:basedOn w:val="2"/>
    <w:qFormat/>
    <w:uiPriority w:val="0"/>
    <w:pPr>
      <w:spacing w:before="0" w:after="0" w:line="400" w:lineRule="exact"/>
    </w:pPr>
    <w:rPr>
      <w:rFonts w:eastAsia="黑体" w:cs="宋体"/>
      <w:b w:val="0"/>
      <w:sz w:val="24"/>
      <w:szCs w:val="20"/>
    </w:rPr>
  </w:style>
  <w:style w:type="paragraph" w:customStyle="1" w:styleId="7">
    <w:name w:val="Table Text"/>
    <w:basedOn w:val="1"/>
    <w:semiHidden/>
    <w:qFormat/>
    <w:uiPriority w:val="0"/>
    <w:rPr>
      <w:rFonts w:ascii="仿宋" w:hAnsi="仿宋" w:eastAsia="仿宋" w:cs="仿宋"/>
      <w:sz w:val="24"/>
      <w:szCs w:val="24"/>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正文1"/>
    <w:basedOn w:val="1"/>
    <w:next w:val="1"/>
    <w:qFormat/>
    <w:uiPriority w:val="0"/>
    <w:pPr>
      <w:spacing w:before="156" w:after="156" w:line="0" w:lineRule="atLeast"/>
      <w:ind w:firstLine="48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1939</Words>
  <Characters>2000</Characters>
  <Lines>0</Lines>
  <Paragraphs>0</Paragraphs>
  <TotalTime>0</TotalTime>
  <ScaleCrop>false</ScaleCrop>
  <LinksUpToDate>false</LinksUpToDate>
  <CharactersWithSpaces>2006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2026-10-20T12:20:00Z</dcterms:created>
  <dc:creator>武夷山国家公园肖</dc:creator>
  <cp:lastModifiedBy>武夷山国家公园肖</cp:lastModifiedBy>
  <dcterms:modified xsi:type="dcterms:W3CDTF">2026-10-20T12:40:46Z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F678B4DD75B14A7F8613DF0E95C6A293_11</vt:lpwstr>
  </property>
  <property fmtid="{D5CDD505-2E9C-101B-9397-08002B2CF9AE}" pid="4" name="KSOTemplateDocerSaveRecord">
    <vt:lpwstr>eyJoZGlkIjoiMzNkZWYwYjAyYWM0NWI3NzhlN2E2MjE4MDg1Y2UyNDIiLCJ1c2VySWQiOiIzODM0OTkyOTgifQ==</vt:lpwstr>
  </property>
</Properties>
</file>